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31" w:rsidRDefault="001F6B31" w:rsidP="00A23ADC">
      <w:pPr>
        <w:jc w:val="center"/>
        <w:rPr>
          <w:rFonts w:ascii="Californian FB" w:hAnsi="Californian FB"/>
          <w:b/>
          <w:bCs/>
          <w:sz w:val="40"/>
          <w:szCs w:val="40"/>
        </w:rPr>
      </w:pPr>
    </w:p>
    <w:p w:rsidR="001F6B31" w:rsidRDefault="001F6B31" w:rsidP="00A23ADC">
      <w:pPr>
        <w:jc w:val="center"/>
        <w:rPr>
          <w:rFonts w:ascii="Californian FB" w:hAnsi="Californian FB"/>
          <w:b/>
          <w:bCs/>
          <w:sz w:val="40"/>
          <w:szCs w:val="40"/>
        </w:rPr>
      </w:pPr>
    </w:p>
    <w:p w:rsidR="00A23ADC" w:rsidRPr="0095459E" w:rsidRDefault="00A23ADC" w:rsidP="00A23ADC">
      <w:pPr>
        <w:jc w:val="center"/>
        <w:rPr>
          <w:rFonts w:ascii="Californian FB" w:hAnsi="Californian FB"/>
          <w:b/>
          <w:bCs/>
          <w:sz w:val="40"/>
          <w:szCs w:val="40"/>
        </w:rPr>
      </w:pPr>
      <w:r w:rsidRPr="0095459E">
        <w:rPr>
          <w:rFonts w:ascii="Californian FB" w:hAnsi="Californian FB"/>
          <w:b/>
          <w:bCs/>
          <w:sz w:val="40"/>
          <w:szCs w:val="40"/>
        </w:rPr>
        <w:t xml:space="preserve">Testimony of Psychologist Ann E. Gillies Ph.D., </w:t>
      </w:r>
      <w:r w:rsidR="0095459E" w:rsidRPr="0095459E">
        <w:rPr>
          <w:rFonts w:ascii="Californian FB" w:hAnsi="Californian FB"/>
          <w:b/>
          <w:bCs/>
          <w:sz w:val="40"/>
          <w:szCs w:val="40"/>
        </w:rPr>
        <w:br/>
      </w:r>
      <w:r w:rsidRPr="0095459E">
        <w:rPr>
          <w:rFonts w:ascii="Californian FB" w:hAnsi="Californian FB"/>
          <w:b/>
          <w:bCs/>
          <w:sz w:val="40"/>
          <w:szCs w:val="40"/>
        </w:rPr>
        <w:t>Trauma Specialist</w:t>
      </w:r>
    </w:p>
    <w:p w:rsidR="00A23ADC" w:rsidRDefault="00A23ADC"/>
    <w:p w:rsidR="00A23ADC" w:rsidRP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 xml:space="preserve">Senator Carney, </w:t>
      </w:r>
      <w:r w:rsidR="007D551F">
        <w:rPr>
          <w:rFonts w:ascii="Californian FB" w:hAnsi="Californian FB"/>
          <w:sz w:val="28"/>
          <w:szCs w:val="28"/>
        </w:rPr>
        <w:t xml:space="preserve">Representative </w:t>
      </w:r>
      <w:proofErr w:type="spellStart"/>
      <w:r w:rsidR="007D551F">
        <w:rPr>
          <w:rFonts w:ascii="Californian FB" w:hAnsi="Californian FB"/>
          <w:sz w:val="28"/>
          <w:szCs w:val="28"/>
        </w:rPr>
        <w:t>Moonen</w:t>
      </w:r>
      <w:proofErr w:type="spellEnd"/>
      <w:r w:rsidR="007D551F">
        <w:rPr>
          <w:rFonts w:ascii="Californian FB" w:hAnsi="Californian FB"/>
          <w:sz w:val="28"/>
          <w:szCs w:val="28"/>
        </w:rPr>
        <w:t xml:space="preserve"> </w:t>
      </w:r>
      <w:r w:rsidRPr="00A23ADC">
        <w:rPr>
          <w:rFonts w:ascii="Californian FB" w:hAnsi="Californian FB"/>
          <w:sz w:val="28"/>
          <w:szCs w:val="28"/>
        </w:rPr>
        <w:t xml:space="preserve">and members of the Joint Standing Committee on Judiciary: </w:t>
      </w:r>
      <w:r w:rsidRPr="00A23ADC">
        <w:rPr>
          <w:rFonts w:ascii="Californian FB" w:hAnsi="Californian FB"/>
          <w:sz w:val="28"/>
          <w:szCs w:val="28"/>
        </w:rPr>
        <w:t xml:space="preserve"> </w:t>
      </w:r>
    </w:p>
    <w:p w:rsidR="00A23ADC" w:rsidRP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>This testimony is</w:t>
      </w:r>
      <w:r w:rsidRPr="00A23ADC">
        <w:rPr>
          <w:rFonts w:ascii="Californian FB" w:hAnsi="Californian FB"/>
          <w:sz w:val="28"/>
          <w:szCs w:val="28"/>
        </w:rPr>
        <w:t xml:space="preserve"> in opposition to L.D. 1735</w:t>
      </w:r>
      <w:r w:rsidRPr="00A23ADC">
        <w:rPr>
          <w:rFonts w:ascii="Californian FB" w:hAnsi="Californian FB"/>
          <w:sz w:val="28"/>
          <w:szCs w:val="28"/>
        </w:rPr>
        <w:t>.</w:t>
      </w:r>
    </w:p>
    <w:p w:rsid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 xml:space="preserve">As of 2016, fewer than one in 10,000 adult natal males and one in 30,000 adult natal females experienced Gender Dysphoria.1 </w:t>
      </w:r>
    </w:p>
    <w:p w:rsid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 xml:space="preserve">Despite this fact, there has been an exponential rise in referral rates of children and adolescents to gender clinics world-wide, since 2009. </w:t>
      </w:r>
    </w:p>
    <w:p w:rsid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 xml:space="preserve">The United Kingdom’s </w:t>
      </w:r>
      <w:proofErr w:type="spellStart"/>
      <w:r w:rsidRPr="00A23ADC">
        <w:rPr>
          <w:rFonts w:ascii="Californian FB" w:hAnsi="Californian FB"/>
          <w:sz w:val="28"/>
          <w:szCs w:val="28"/>
        </w:rPr>
        <w:t>Tavistock</w:t>
      </w:r>
      <w:proofErr w:type="spellEnd"/>
      <w:r w:rsidRPr="00A23ADC">
        <w:rPr>
          <w:rFonts w:ascii="Californian FB" w:hAnsi="Californian FB"/>
          <w:sz w:val="28"/>
          <w:szCs w:val="28"/>
        </w:rPr>
        <w:t xml:space="preserve"> Clinic which saw an explosion of referrals, is now closing after an investigation into the use of puberty blockers and cross-sex hormones that found the current model of care is </w:t>
      </w:r>
      <w:r w:rsidRPr="00A23ADC">
        <w:rPr>
          <w:rFonts w:ascii="Californian FB" w:hAnsi="Californian FB"/>
          <w:b/>
          <w:bCs/>
          <w:i/>
          <w:iCs/>
          <w:sz w:val="28"/>
          <w:szCs w:val="28"/>
        </w:rPr>
        <w:t>not a safe or viable long-term option.</w:t>
      </w:r>
      <w:r w:rsidRPr="00A23ADC">
        <w:rPr>
          <w:rFonts w:ascii="Californian FB" w:hAnsi="Californian FB"/>
          <w:sz w:val="28"/>
          <w:szCs w:val="28"/>
        </w:rPr>
        <w:t xml:space="preserve"> 2 </w:t>
      </w:r>
    </w:p>
    <w:p w:rsidR="00A23ADC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>“</w:t>
      </w:r>
      <w:r w:rsidRPr="00A23ADC">
        <w:rPr>
          <w:rFonts w:ascii="Californian FB" w:hAnsi="Californian FB"/>
          <w:b/>
          <w:bCs/>
          <w:i/>
          <w:iCs/>
          <w:sz w:val="28"/>
          <w:szCs w:val="28"/>
        </w:rPr>
        <w:t>The current evidence does not support informed decision making and safe practice in children.”</w:t>
      </w:r>
      <w:r w:rsidRPr="00A23ADC">
        <w:rPr>
          <w:rFonts w:ascii="Californian FB" w:hAnsi="Californian FB"/>
          <w:sz w:val="28"/>
          <w:szCs w:val="28"/>
        </w:rPr>
        <w:t xml:space="preserve">3 There are approximately 1,000 lawsuits currently pending4 </w:t>
      </w:r>
    </w:p>
    <w:p w:rsidR="00BF52E0" w:rsidRDefault="00A23ADC">
      <w:pPr>
        <w:rPr>
          <w:rFonts w:ascii="Californian FB" w:hAnsi="Californian FB"/>
          <w:sz w:val="28"/>
          <w:szCs w:val="28"/>
        </w:rPr>
      </w:pPr>
      <w:r w:rsidRPr="00A23ADC">
        <w:rPr>
          <w:rFonts w:ascii="Californian FB" w:hAnsi="Californian FB"/>
          <w:sz w:val="28"/>
          <w:szCs w:val="28"/>
        </w:rPr>
        <w:t>United Kingdom National Institute for Health and Care Excellence (N.I.C.E) evidence review states:</w:t>
      </w:r>
    </w:p>
    <w:p w:rsidR="00A23ADC" w:rsidRDefault="0095459E">
      <w:pPr>
        <w:rPr>
          <w:rFonts w:ascii="Californian FB" w:hAnsi="Californian FB"/>
          <w:sz w:val="28"/>
          <w:szCs w:val="28"/>
        </w:rPr>
      </w:pPr>
      <w:r w:rsidRPr="0095459E">
        <w:rPr>
          <w:rFonts w:ascii="Californian FB" w:hAnsi="Californian FB"/>
          <w:sz w:val="28"/>
          <w:szCs w:val="28"/>
        </w:rPr>
        <w:t xml:space="preserve">“Any </w:t>
      </w:r>
      <w:r w:rsidRPr="00FF6C93">
        <w:rPr>
          <w:rFonts w:ascii="Californian FB" w:hAnsi="Californian FB"/>
          <w:b/>
          <w:bCs/>
          <w:i/>
          <w:iCs/>
          <w:sz w:val="28"/>
          <w:szCs w:val="28"/>
        </w:rPr>
        <w:t xml:space="preserve">potential benefits of gender-affirming hormones must be weighed </w:t>
      </w:r>
      <w:r w:rsidRPr="0095459E">
        <w:rPr>
          <w:rFonts w:ascii="Californian FB" w:hAnsi="Californian FB"/>
          <w:sz w:val="28"/>
          <w:szCs w:val="28"/>
        </w:rPr>
        <w:t xml:space="preserve">against the largely </w:t>
      </w:r>
      <w:r w:rsidRPr="00FF6C93">
        <w:rPr>
          <w:rFonts w:ascii="Californian FB" w:hAnsi="Californian FB"/>
          <w:b/>
          <w:bCs/>
          <w:i/>
          <w:iCs/>
          <w:sz w:val="28"/>
          <w:szCs w:val="28"/>
        </w:rPr>
        <w:t>unknown long-term safety profile</w:t>
      </w:r>
      <w:r w:rsidRPr="0095459E">
        <w:rPr>
          <w:rFonts w:ascii="Californian FB" w:hAnsi="Californian FB"/>
          <w:sz w:val="28"/>
          <w:szCs w:val="28"/>
        </w:rPr>
        <w:t xml:space="preserve"> of these treatments in children and adolescents with gender dysphoria.”5</w:t>
      </w:r>
    </w:p>
    <w:p w:rsidR="001F6B31" w:rsidRDefault="001F6B31" w:rsidP="001F6B31">
      <w:pPr>
        <w:rPr>
          <w:rFonts w:ascii="Californian FB" w:hAnsi="Californian FB" w:cs="Arial"/>
          <w:bCs/>
          <w:i/>
          <w:iCs/>
          <w:sz w:val="28"/>
          <w:szCs w:val="28"/>
        </w:rPr>
      </w:pPr>
      <w:r w:rsidRPr="001F6B31">
        <w:rPr>
          <w:rFonts w:ascii="Californian FB" w:hAnsi="Californian FB" w:cs="Arial"/>
          <w:bCs/>
          <w:i/>
          <w:iCs/>
          <w:sz w:val="28"/>
          <w:szCs w:val="28"/>
        </w:rPr>
        <w:t>This isn’t the only gender clinic revising its standards of care. Sweden, Finland, Australia and now Norway have followed suit, after finding that the risks of puberty-suppressing and gender-affirming hormonal treatment currently outweigh the possible benefits.</w:t>
      </w:r>
      <w:r w:rsidRPr="001F6B31">
        <w:rPr>
          <w:rStyle w:val="FootnoteReference"/>
          <w:rFonts w:ascii="Californian FB" w:hAnsi="Californian FB" w:cs="Arial"/>
          <w:bCs/>
          <w:i/>
          <w:iCs/>
          <w:sz w:val="28"/>
          <w:szCs w:val="28"/>
        </w:rPr>
        <w:footnoteReference w:id="1"/>
      </w:r>
    </w:p>
    <w:p w:rsidR="001F6B31" w:rsidRDefault="001F6B31" w:rsidP="001F6B31">
      <w:pPr>
        <w:rPr>
          <w:rFonts w:ascii="Californian FB" w:hAnsi="Californian FB" w:cs="Arial"/>
          <w:bCs/>
          <w:i/>
          <w:iCs/>
          <w:sz w:val="28"/>
          <w:szCs w:val="28"/>
        </w:rPr>
      </w:pPr>
    </w:p>
    <w:p w:rsidR="001F6B31" w:rsidRDefault="001F6B31" w:rsidP="001F6B31">
      <w:pPr>
        <w:rPr>
          <w:rFonts w:ascii="Californian FB" w:hAnsi="Californian FB" w:cs="Arial"/>
          <w:bCs/>
          <w:i/>
          <w:iCs/>
          <w:sz w:val="28"/>
          <w:szCs w:val="28"/>
        </w:rPr>
      </w:pPr>
    </w:p>
    <w:p w:rsidR="001F6B31" w:rsidRPr="001F6B31" w:rsidRDefault="001F6B31" w:rsidP="001F6B31">
      <w:pPr>
        <w:rPr>
          <w:rFonts w:ascii="Californian FB" w:hAnsi="Californian FB" w:cs="Arial"/>
          <w:bCs/>
          <w:i/>
          <w:iCs/>
          <w:sz w:val="28"/>
          <w:szCs w:val="28"/>
        </w:rPr>
      </w:pP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</w:pPr>
      <w:r w:rsidRPr="001F6B31">
        <w:rPr>
          <w:rFonts w:ascii="Californian FB" w:hAnsi="Californian FB" w:cs="Arial"/>
          <w:sz w:val="28"/>
          <w:szCs w:val="28"/>
          <w:lang w:val="en-US"/>
        </w:rPr>
        <w:t xml:space="preserve">An Archive of Diseases in Childhood letter referred to </w:t>
      </w:r>
      <w:r w:rsidRPr="001F6B31">
        <w:rPr>
          <w:rFonts w:ascii="Californian FB" w:hAnsi="Californian FB" w:cs="Arial"/>
          <w:bCs/>
          <w:sz w:val="28"/>
          <w:szCs w:val="28"/>
          <w:lang w:val="en-US"/>
        </w:rPr>
        <w:t xml:space="preserve">puberty-blocker treatment as </w:t>
      </w:r>
      <w:r w:rsidRPr="001F6B31">
        <w:rPr>
          <w:rFonts w:ascii="Californian FB" w:hAnsi="Californian FB" w:cs="Arial"/>
          <w:b/>
          <w:sz w:val="28"/>
          <w:szCs w:val="28"/>
          <w:lang w:val="en-US"/>
        </w:rPr>
        <w:t>“</w:t>
      </w:r>
      <w:r w:rsidRPr="001F6B31">
        <w:rPr>
          <w:rFonts w:ascii="Californian FB" w:hAnsi="Californian FB" w:cs="Arial"/>
          <w:b/>
          <w:i/>
          <w:iCs/>
          <w:sz w:val="28"/>
          <w:szCs w:val="28"/>
          <w:lang w:val="en-US"/>
        </w:rPr>
        <w:t>a momentous step in the dark</w:t>
      </w:r>
      <w:r w:rsidRPr="001F6B31">
        <w:rPr>
          <w:rFonts w:ascii="Californian FB" w:hAnsi="Californian FB" w:cs="Arial"/>
          <w:sz w:val="28"/>
          <w:szCs w:val="28"/>
          <w:lang w:val="en-US"/>
        </w:rPr>
        <w:t>.”</w:t>
      </w:r>
      <w:r w:rsidRPr="001F6B31">
        <w:rPr>
          <w:rStyle w:val="FootnoteReference"/>
          <w:rFonts w:ascii="Californian FB" w:hAnsi="Californian FB" w:cs="Arial"/>
          <w:sz w:val="28"/>
          <w:szCs w:val="28"/>
          <w:lang w:val="en-US"/>
        </w:rPr>
        <w:footnoteReference w:id="2"/>
      </w:r>
    </w:p>
    <w:p w:rsidR="001F6B31" w:rsidRPr="00A478CA" w:rsidRDefault="001F6B31" w:rsidP="001F6B31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</w:pPr>
      <w:r w:rsidRPr="001F6B31">
        <w:rPr>
          <w:rFonts w:ascii="Californian FB" w:hAnsi="Californian FB" w:cs="Arial"/>
          <w:sz w:val="28"/>
          <w:szCs w:val="28"/>
          <w:lang w:val="en-US"/>
        </w:rPr>
        <w:t xml:space="preserve">Gender-dysphoric children present with </w:t>
      </w:r>
      <w:r w:rsidRPr="001F6B31">
        <w:rPr>
          <w:rFonts w:ascii="Californian FB" w:hAnsi="Californian FB" w:cs="Arial"/>
          <w:b/>
          <w:i/>
          <w:sz w:val="28"/>
          <w:szCs w:val="28"/>
          <w:lang w:val="en-US"/>
        </w:rPr>
        <w:t xml:space="preserve">3-5 pre-existing </w:t>
      </w:r>
      <w:r w:rsidRPr="001F6B31">
        <w:rPr>
          <w:rFonts w:ascii="Californian FB" w:hAnsi="Californian FB" w:cs="Arial"/>
          <w:sz w:val="28"/>
          <w:szCs w:val="28"/>
          <w:lang w:val="en-US"/>
        </w:rPr>
        <w:t>mental health concerns. The majority have an “</w:t>
      </w:r>
      <w:r w:rsidRPr="001F6B31">
        <w:rPr>
          <w:rFonts w:ascii="Californian FB" w:hAnsi="Californian FB" w:cs="Arial"/>
          <w:b/>
          <w:i/>
          <w:sz w:val="28"/>
          <w:szCs w:val="28"/>
          <w:lang w:val="en-US"/>
        </w:rPr>
        <w:t xml:space="preserve">existing diagnosis of an autism spectrum </w:t>
      </w:r>
      <w:r w:rsidRPr="001F6B31">
        <w:rPr>
          <w:rFonts w:ascii="Californian FB" w:hAnsi="Californian FB" w:cs="Arial"/>
          <w:b/>
          <w:bCs/>
          <w:i/>
          <w:iCs/>
          <w:sz w:val="28"/>
          <w:szCs w:val="28"/>
          <w:lang w:val="en-US"/>
        </w:rPr>
        <w:t>condition</w:t>
      </w:r>
      <w:r w:rsidRPr="001F6B31">
        <w:rPr>
          <w:rFonts w:ascii="Californian FB" w:hAnsi="Californian FB" w:cs="Arial"/>
          <w:sz w:val="28"/>
          <w:szCs w:val="28"/>
          <w:lang w:val="en-US"/>
        </w:rPr>
        <w:t>” (ASC), or are likely to obtain one.</w:t>
      </w:r>
      <w:r w:rsidRPr="001F6B31">
        <w:rPr>
          <w:rStyle w:val="FootnoteReference"/>
          <w:rFonts w:ascii="Californian FB" w:hAnsi="Californian FB" w:cs="Arial"/>
          <w:sz w:val="28"/>
          <w:szCs w:val="28"/>
          <w:lang w:val="en-US"/>
        </w:rPr>
        <w:footnoteReference w:id="3"/>
      </w:r>
      <w:r w:rsidRPr="001F6B31">
        <w:rPr>
          <w:rFonts w:ascii="Californian FB" w:hAnsi="Californian FB" w:cs="Arial"/>
          <w:sz w:val="28"/>
          <w:szCs w:val="28"/>
          <w:lang w:val="en-US"/>
        </w:rPr>
        <w:t xml:space="preserve">   They present with a history of self-harm, suicidal ideation, somatic symptom disorders, ADHD, oppositional defiance, and conduct problems.</w:t>
      </w:r>
      <w:r w:rsidRPr="001F6B31">
        <w:rPr>
          <w:rStyle w:val="FootnoteReference"/>
          <w:rFonts w:ascii="Californian FB" w:hAnsi="Californian FB" w:cs="Arial"/>
          <w:sz w:val="28"/>
          <w:szCs w:val="28"/>
          <w:lang w:val="en-US"/>
        </w:rPr>
        <w:footnoteReference w:id="4"/>
      </w:r>
      <w:r w:rsidRPr="001F6B31">
        <w:rPr>
          <w:rFonts w:ascii="Californian FB" w:hAnsi="Californian FB" w:cs="Arial"/>
          <w:sz w:val="28"/>
          <w:szCs w:val="28"/>
          <w:lang w:val="en-US"/>
        </w:rPr>
        <w:t xml:space="preserve"> </w:t>
      </w: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</w:pP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</w:pPr>
      <w:r w:rsidRPr="001F6B31">
        <w:rPr>
          <w:rFonts w:ascii="Californian FB" w:hAnsi="Californian FB" w:cs="Arial"/>
          <w:sz w:val="28"/>
          <w:szCs w:val="28"/>
          <w:lang w:val="en-US"/>
        </w:rPr>
        <w:t xml:space="preserve">What these children need is not to be fast-tracked into cross-sex medicalization, but to receive psychological care for their pre-existing traumas and co-morbidities. </w:t>
      </w: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</w:pPr>
    </w:p>
    <w:p w:rsidR="001F6B31" w:rsidRPr="001F6B31" w:rsidRDefault="001F6B31" w:rsidP="001F6B31">
      <w:pPr>
        <w:pStyle w:val="NoSpacing"/>
        <w:rPr>
          <w:rFonts w:ascii="Californian FB" w:hAnsi="Californian FB" w:cs="Arial"/>
          <w:sz w:val="28"/>
          <w:szCs w:val="28"/>
          <w:lang w:val="en-US"/>
        </w:rPr>
        <w:sectPr w:rsidR="001F6B31" w:rsidRPr="001F6B31" w:rsidSect="001F6B31">
          <w:footerReference w:type="default" r:id="rId6"/>
          <w:pgSz w:w="12240" w:h="15840"/>
          <w:pgMar w:top="360" w:right="1440" w:bottom="2610" w:left="1440" w:header="708" w:footer="708" w:gutter="0"/>
          <w:cols w:space="708"/>
          <w:docGrid w:linePitch="360"/>
        </w:sectPr>
      </w:pPr>
      <w:r w:rsidRPr="001F6B31">
        <w:rPr>
          <w:rFonts w:ascii="Californian FB" w:hAnsi="Californian FB" w:cs="Arial"/>
          <w:sz w:val="28"/>
          <w:szCs w:val="28"/>
          <w:lang w:val="en-US"/>
        </w:rPr>
        <w:t>Thank you for listening. Please vote ought not to pass on LD 1735</w:t>
      </w:r>
      <w:r w:rsidRPr="001F6B31">
        <w:rPr>
          <w:rFonts w:ascii="Californian FB" w:hAnsi="Californian FB" w:cs="Arial"/>
          <w:sz w:val="28"/>
          <w:szCs w:val="28"/>
          <w:lang w:val="en-US"/>
        </w:rPr>
        <w:t>.</w:t>
      </w:r>
    </w:p>
    <w:p w:rsidR="00FF6C93" w:rsidRPr="001F6B31" w:rsidRDefault="00A23ADC">
      <w:r>
        <w:t>1 Zucker, KJ, et al. Gender Dysphoria in Adults. Annu. Rev. Clin. Psychol. 2016. 12:217–47</w:t>
      </w:r>
      <w:proofErr w:type="gramStart"/>
      <w:r>
        <w:t>.)(</w:t>
      </w:r>
      <w:proofErr w:type="gramEnd"/>
      <w:r>
        <w:t>P.217.)</w:t>
      </w:r>
      <w:r>
        <w:br/>
      </w:r>
      <w:r>
        <w:t xml:space="preserve">2 https://www.bbc.com/news/uk-62335665 </w:t>
      </w:r>
      <w:r>
        <w:br/>
      </w:r>
      <w:r>
        <w:t>3 https://www.rcgp.org.uk/-/media/Files/Policy/A-Z-policy/2019/RCGP-transgender-careposition-statement-june-2019.ashx?la=en [“15.” C. Heneghan, T. Jefferson, ‘</w:t>
      </w:r>
      <w:proofErr w:type="spellStart"/>
      <w:r>
        <w:t>Genderaffirming</w:t>
      </w:r>
      <w:proofErr w:type="spellEnd"/>
      <w:r>
        <w:t xml:space="preserve"> hormone in children and adolescents; BMJ EBM, 25 February 2019</w:t>
      </w:r>
      <w:proofErr w:type="gramStart"/>
      <w:r>
        <w:t>. ]</w:t>
      </w:r>
      <w:proofErr w:type="gramEnd"/>
      <w:r>
        <w:t xml:space="preserve"> </w:t>
      </w:r>
      <w:r>
        <w:br/>
      </w:r>
      <w:r>
        <w:t>4 IBID</w:t>
      </w:r>
      <w:r w:rsidR="0095459E">
        <w:br/>
      </w:r>
      <w:r w:rsidR="0095459E">
        <w:t xml:space="preserve">5 https://arms.nice.org.uk/resources/hub/1070871/attachment and </w:t>
      </w:r>
      <w:hyperlink r:id="rId7" w:history="1">
        <w:r w:rsidR="00FF6C93" w:rsidRPr="00A52D90">
          <w:rPr>
            <w:rStyle w:val="Hyperlink"/>
          </w:rPr>
          <w:t>https://arms.nice.org.uk/resources/hub/1070905/attachment</w:t>
        </w:r>
      </w:hyperlink>
    </w:p>
    <w:sectPr w:rsidR="00FF6C93" w:rsidRPr="001F6B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F22" w:rsidRDefault="00D43F22" w:rsidP="001F6B31">
      <w:pPr>
        <w:spacing w:after="0" w:line="240" w:lineRule="auto"/>
      </w:pPr>
      <w:r>
        <w:separator/>
      </w:r>
    </w:p>
  </w:endnote>
  <w:endnote w:type="continuationSeparator" w:id="0">
    <w:p w:rsidR="00D43F22" w:rsidRDefault="00D43F22" w:rsidP="001F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4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B31" w:rsidRDefault="001F6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B31" w:rsidRDefault="001F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41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B31" w:rsidRDefault="001F6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B31" w:rsidRDefault="001F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F22" w:rsidRDefault="00D43F22" w:rsidP="001F6B31">
      <w:pPr>
        <w:spacing w:after="0" w:line="240" w:lineRule="auto"/>
      </w:pPr>
      <w:r>
        <w:separator/>
      </w:r>
    </w:p>
  </w:footnote>
  <w:footnote w:type="continuationSeparator" w:id="0">
    <w:p w:rsidR="00D43F22" w:rsidRDefault="00D43F22" w:rsidP="001F6B31">
      <w:pPr>
        <w:spacing w:after="0" w:line="240" w:lineRule="auto"/>
      </w:pPr>
      <w:r>
        <w:continuationSeparator/>
      </w:r>
    </w:p>
  </w:footnote>
  <w:footnote w:id="1">
    <w:p w:rsidR="001F6B31" w:rsidRPr="00482B8B" w:rsidRDefault="001F6B31" w:rsidP="001F6B31">
      <w:pPr>
        <w:pStyle w:val="FootnoteText"/>
        <w:rPr>
          <w:rFonts w:ascii="Arial Narrow" w:hAnsi="Arial Narrow"/>
          <w:sz w:val="24"/>
          <w:szCs w:val="24"/>
        </w:rPr>
      </w:pPr>
      <w:r w:rsidRPr="00482B8B">
        <w:rPr>
          <w:rStyle w:val="FootnoteReference"/>
          <w:rFonts w:ascii="Arial Narrow" w:hAnsi="Arial Narrow"/>
          <w:sz w:val="24"/>
          <w:szCs w:val="24"/>
        </w:rPr>
        <w:footnoteRef/>
      </w:r>
      <w:r w:rsidRPr="00482B8B">
        <w:rPr>
          <w:rFonts w:ascii="Arial Narrow" w:hAnsi="Arial Narrow"/>
          <w:sz w:val="24"/>
          <w:szCs w:val="24"/>
        </w:rPr>
        <w:t xml:space="preserve"> The Swedish National Council for Medical Ethics. https://www.transgendertrend.com/wp-content/uploads/2019/04/SMER-National-Council-for-Medical-Ethics-directive-March-2019.pdf</w:t>
      </w:r>
    </w:p>
  </w:footnote>
  <w:footnote w:id="2">
    <w:p w:rsidR="001F6B31" w:rsidRPr="00482B8B" w:rsidRDefault="001F6B31" w:rsidP="001F6B31">
      <w:pPr>
        <w:pStyle w:val="FootnoteText"/>
        <w:rPr>
          <w:rFonts w:ascii="Arial Narrow" w:hAnsi="Arial Narrow"/>
          <w:sz w:val="24"/>
          <w:szCs w:val="24"/>
        </w:rPr>
      </w:pPr>
      <w:r w:rsidRPr="00482B8B">
        <w:rPr>
          <w:rStyle w:val="FootnoteReference"/>
          <w:rFonts w:ascii="Arial Narrow" w:hAnsi="Arial Narrow"/>
          <w:sz w:val="24"/>
          <w:szCs w:val="24"/>
        </w:rPr>
        <w:footnoteRef/>
      </w:r>
      <w:r w:rsidRPr="00482B8B">
        <w:rPr>
          <w:rFonts w:ascii="Arial Narrow" w:hAnsi="Arial Narrow"/>
          <w:sz w:val="24"/>
          <w:szCs w:val="24"/>
        </w:rPr>
        <w:t xml:space="preserve"> Referencing: (Richards C, Maxwell J, McCune N. Use of puberty blockers for gender dysphoria: a momentous step in the dark. Archives of Disease in Childhood </w:t>
      </w:r>
      <w:proofErr w:type="gramStart"/>
      <w:r w:rsidRPr="00482B8B">
        <w:rPr>
          <w:rFonts w:ascii="Arial Narrow" w:hAnsi="Arial Narrow"/>
          <w:sz w:val="24"/>
          <w:szCs w:val="24"/>
        </w:rPr>
        <w:t>2019;104:611</w:t>
      </w:r>
      <w:proofErr w:type="gramEnd"/>
      <w:r w:rsidRPr="00482B8B">
        <w:rPr>
          <w:rFonts w:ascii="Arial Narrow" w:hAnsi="Arial Narrow"/>
          <w:sz w:val="24"/>
          <w:szCs w:val="24"/>
        </w:rPr>
        <w:t>-612.)</w:t>
      </w:r>
    </w:p>
  </w:footnote>
  <w:footnote w:id="3">
    <w:p w:rsidR="001F6B31" w:rsidRPr="00482B8B" w:rsidRDefault="001F6B31" w:rsidP="001F6B31">
      <w:pPr>
        <w:pStyle w:val="FootnoteText"/>
        <w:rPr>
          <w:rFonts w:ascii="Arial Narrow" w:hAnsi="Arial Narrow"/>
          <w:sz w:val="24"/>
          <w:szCs w:val="24"/>
        </w:rPr>
      </w:pPr>
      <w:r w:rsidRPr="00482B8B">
        <w:rPr>
          <w:rStyle w:val="FootnoteReference"/>
          <w:rFonts w:ascii="Arial Narrow" w:hAnsi="Arial Narrow"/>
          <w:sz w:val="24"/>
          <w:szCs w:val="24"/>
        </w:rPr>
        <w:footnoteRef/>
      </w:r>
      <w:r w:rsidRPr="00482B8B">
        <w:rPr>
          <w:rFonts w:ascii="Arial Narrow" w:hAnsi="Arial Narrow"/>
          <w:sz w:val="24"/>
          <w:szCs w:val="24"/>
        </w:rPr>
        <w:t xml:space="preserve"> Clarke, Anna Churcher, and </w:t>
      </w:r>
      <w:proofErr w:type="spellStart"/>
      <w:r w:rsidRPr="00482B8B">
        <w:rPr>
          <w:rFonts w:ascii="Arial Narrow" w:hAnsi="Arial Narrow"/>
          <w:sz w:val="24"/>
          <w:szCs w:val="24"/>
        </w:rPr>
        <w:t>Anastassis</w:t>
      </w:r>
      <w:proofErr w:type="spellEnd"/>
      <w:r w:rsidRPr="00482B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82B8B">
        <w:rPr>
          <w:rFonts w:ascii="Arial Narrow" w:hAnsi="Arial Narrow"/>
          <w:sz w:val="24"/>
          <w:szCs w:val="24"/>
        </w:rPr>
        <w:t>Spiliadis</w:t>
      </w:r>
      <w:proofErr w:type="spellEnd"/>
      <w:r w:rsidRPr="00482B8B">
        <w:rPr>
          <w:rFonts w:ascii="Arial Narrow" w:hAnsi="Arial Narrow"/>
          <w:sz w:val="24"/>
          <w:szCs w:val="24"/>
        </w:rPr>
        <w:t xml:space="preserve">. “‘Taking the Lid off the Box’: The Value of Extended Clinical Assessment for </w:t>
      </w:r>
      <w:r w:rsidRPr="00482B8B">
        <w:rPr>
          <w:rFonts w:ascii="Arial Narrow" w:hAnsi="Arial Narrow"/>
          <w:sz w:val="24"/>
          <w:szCs w:val="24"/>
        </w:rPr>
        <w:tab/>
        <w:t>Adolescents Presenting with Gender Identity Difficulties.” Clinical Child Psychology and Psychiatry, vol. 24, no. 2, 2019, pp. 338–3</w:t>
      </w:r>
      <w:r w:rsidRPr="00482B8B">
        <w:rPr>
          <w:rFonts w:ascii="Arial Narrow" w:hAnsi="Arial Narrow"/>
          <w:sz w:val="24"/>
          <w:szCs w:val="24"/>
        </w:rPr>
        <w:tab/>
        <w:t>52., doi:10.1177/1359104518825288</w:t>
      </w:r>
    </w:p>
  </w:footnote>
  <w:footnote w:id="4">
    <w:p w:rsidR="001F6B31" w:rsidRDefault="001F6B31" w:rsidP="001F6B31">
      <w:pPr>
        <w:pStyle w:val="FootnoteText"/>
      </w:pPr>
      <w:r w:rsidRPr="00482B8B">
        <w:rPr>
          <w:rStyle w:val="FootnoteReference"/>
          <w:rFonts w:ascii="Arial Narrow" w:hAnsi="Arial Narrow"/>
          <w:sz w:val="24"/>
          <w:szCs w:val="24"/>
        </w:rPr>
        <w:footnoteRef/>
      </w:r>
      <w:r w:rsidRPr="00482B8B">
        <w:rPr>
          <w:rFonts w:ascii="Arial Narrow" w:hAnsi="Arial Narrow"/>
          <w:sz w:val="24"/>
          <w:szCs w:val="24"/>
        </w:rPr>
        <w:t xml:space="preserve"> Russell DH, </w:t>
      </w:r>
      <w:proofErr w:type="spellStart"/>
      <w:r w:rsidRPr="00482B8B">
        <w:rPr>
          <w:rFonts w:ascii="Arial Narrow" w:hAnsi="Arial Narrow"/>
          <w:sz w:val="24"/>
          <w:szCs w:val="24"/>
        </w:rPr>
        <w:t>Hoq</w:t>
      </w:r>
      <w:proofErr w:type="spellEnd"/>
      <w:r w:rsidRPr="00482B8B">
        <w:rPr>
          <w:rFonts w:ascii="Arial Narrow" w:hAnsi="Arial Narrow"/>
          <w:sz w:val="24"/>
          <w:szCs w:val="24"/>
        </w:rPr>
        <w:t xml:space="preserve"> M, Coghill D, Pang KC. Prevalence of Mental Health Problems in Transgender Children Aged 9 to 10 Years in the US, 2018. JAMA </w:t>
      </w:r>
      <w:proofErr w:type="spellStart"/>
      <w:r w:rsidRPr="00482B8B">
        <w:rPr>
          <w:rFonts w:ascii="Arial Narrow" w:hAnsi="Arial Narrow"/>
          <w:sz w:val="24"/>
          <w:szCs w:val="24"/>
        </w:rPr>
        <w:t>Netw</w:t>
      </w:r>
      <w:proofErr w:type="spellEnd"/>
      <w:r w:rsidRPr="00482B8B">
        <w:rPr>
          <w:rFonts w:ascii="Arial Narrow" w:hAnsi="Arial Narrow"/>
          <w:sz w:val="24"/>
          <w:szCs w:val="24"/>
        </w:rPr>
        <w:t xml:space="preserve"> Open. 2022;5(7</w:t>
      </w:r>
      <w:proofErr w:type="gramStart"/>
      <w:r w:rsidRPr="00482B8B">
        <w:rPr>
          <w:rFonts w:ascii="Arial Narrow" w:hAnsi="Arial Narrow"/>
          <w:sz w:val="24"/>
          <w:szCs w:val="24"/>
        </w:rPr>
        <w:t>):e</w:t>
      </w:r>
      <w:proofErr w:type="gramEnd"/>
      <w:r w:rsidRPr="00482B8B">
        <w:rPr>
          <w:rFonts w:ascii="Arial Narrow" w:hAnsi="Arial Narrow"/>
          <w:sz w:val="24"/>
          <w:szCs w:val="24"/>
        </w:rPr>
        <w:t>2223389. doi:10.1001/jamanetworkopen.2022.23389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DC"/>
    <w:rsid w:val="001F6B31"/>
    <w:rsid w:val="00790251"/>
    <w:rsid w:val="00791F04"/>
    <w:rsid w:val="007D551F"/>
    <w:rsid w:val="008D431C"/>
    <w:rsid w:val="0095459E"/>
    <w:rsid w:val="00A23ADC"/>
    <w:rsid w:val="00BF52E0"/>
    <w:rsid w:val="00D43F22"/>
    <w:rsid w:val="00E3379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20B"/>
  <w15:chartTrackingRefBased/>
  <w15:docId w15:val="{AF385DB2-B47B-4C41-913B-4FCC327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C9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31"/>
    <w:pPr>
      <w:spacing w:after="0" w:line="240" w:lineRule="auto"/>
    </w:pPr>
    <w:rPr>
      <w:kern w:val="0"/>
      <w:sz w:val="20"/>
      <w:szCs w:val="20"/>
      <w:lang w:val="en-CA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31"/>
    <w:rPr>
      <w:kern w:val="0"/>
      <w:sz w:val="20"/>
      <w:szCs w:val="20"/>
      <w:lang w:val="en-C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F6B31"/>
    <w:rPr>
      <w:vertAlign w:val="superscript"/>
    </w:rPr>
  </w:style>
  <w:style w:type="paragraph" w:styleId="NoSpacing">
    <w:name w:val="No Spacing"/>
    <w:uiPriority w:val="1"/>
    <w:qFormat/>
    <w:rsid w:val="001F6B31"/>
    <w:pPr>
      <w:spacing w:after="0" w:line="240" w:lineRule="auto"/>
    </w:pPr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6B31"/>
    <w:pPr>
      <w:tabs>
        <w:tab w:val="center" w:pos="4680"/>
        <w:tab w:val="right" w:pos="9360"/>
      </w:tabs>
      <w:spacing w:after="0" w:line="240" w:lineRule="auto"/>
    </w:pPr>
    <w:rPr>
      <w:kern w:val="0"/>
      <w:lang w:val="en-CA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F6B31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ms.nice.org.uk/resources/hub/1070905/attach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 Heath</dc:creator>
  <cp:keywords/>
  <dc:description/>
  <cp:lastModifiedBy>Paulie Heath</cp:lastModifiedBy>
  <cp:revision>2</cp:revision>
  <dcterms:created xsi:type="dcterms:W3CDTF">2023-06-08T15:14:00Z</dcterms:created>
  <dcterms:modified xsi:type="dcterms:W3CDTF">2023-06-08T15:14:00Z</dcterms:modified>
</cp:coreProperties>
</file>